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</w:p>
    <w:bookmarkEnd w:id="0"/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184434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18443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18443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18443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184434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184434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1844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1844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184434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184434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545B12" w:rsidRDefault="00184434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6445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45B1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5B12">
        <w:rPr>
          <w:rFonts w:ascii="標楷體" w:eastAsia="標楷體" w:hAnsi="標楷體" w:hint="eastAsia"/>
          <w:sz w:val="28"/>
          <w:szCs w:val="28"/>
        </w:rPr>
        <w:t xml:space="preserve"> (三)信用卡扣款：(若勾選此方式，本會將寄出授權書供填寫)</w:t>
      </w:r>
    </w:p>
    <w:p w:rsidR="00BE0A46" w:rsidRDefault="00184434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3417379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0A46">
        <w:rPr>
          <w:rFonts w:ascii="標楷體" w:eastAsia="標楷體" w:hAnsi="標楷體" w:hint="eastAsia"/>
          <w:sz w:val="28"/>
          <w:szCs w:val="28"/>
        </w:rPr>
        <w:t xml:space="preserve"> (</w:t>
      </w:r>
      <w:r w:rsidR="00545B12">
        <w:rPr>
          <w:rFonts w:ascii="標楷體" w:eastAsia="標楷體" w:hAnsi="標楷體" w:hint="eastAsia"/>
          <w:sz w:val="28"/>
          <w:szCs w:val="28"/>
        </w:rPr>
        <w:t>四</w:t>
      </w:r>
      <w:r w:rsidR="00BE0A46">
        <w:rPr>
          <w:rFonts w:ascii="標楷體" w:eastAsia="標楷體" w:hAnsi="標楷體" w:hint="eastAsia"/>
          <w:sz w:val="28"/>
          <w:szCs w:val="28"/>
        </w:rPr>
        <w:t>)其他(</w:t>
      </w:r>
      <w:r w:rsidR="00545B12">
        <w:rPr>
          <w:rFonts w:ascii="標楷體" w:eastAsia="標楷體" w:hAnsi="標楷體" w:hint="eastAsia"/>
          <w:sz w:val="28"/>
          <w:szCs w:val="28"/>
        </w:rPr>
        <w:t>街口、悠遊付</w:t>
      </w:r>
      <w:r w:rsidR="00233EED">
        <w:rPr>
          <w:rFonts w:ascii="標楷體" w:eastAsia="標楷體" w:hAnsi="標楷體" w:hint="eastAsia"/>
          <w:sz w:val="28"/>
          <w:szCs w:val="28"/>
        </w:rPr>
        <w:t>，請參考本會網站：捐款支持→認助捐款帳戶</w:t>
      </w:r>
      <w:r w:rsidR="00BE0A46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收據開立方式(請擇一勾選)：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</w:t>
                            </w:r>
                            <w:r w:rsidR="00DC75D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3838A1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DC75D3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DC75D3" w:rsidRPr="00530241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470E2B" w:rsidRPr="00530241" w:rsidRDefault="00470E2B" w:rsidP="00530241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</w:t>
                      </w:r>
                      <w:r w:rsidR="00DC75D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3838A1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DC75D3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DC75D3" w:rsidRPr="00530241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470E2B" w:rsidRPr="00530241" w:rsidRDefault="00470E2B" w:rsidP="00530241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434" w:rsidRDefault="00184434" w:rsidP="00B25448">
      <w:r>
        <w:separator/>
      </w:r>
    </w:p>
  </w:endnote>
  <w:endnote w:type="continuationSeparator" w:id="0">
    <w:p w:rsidR="00184434" w:rsidRDefault="00184434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893FB0" w:rsidRPr="00893FB0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434" w:rsidRDefault="00184434" w:rsidP="00B25448">
      <w:r>
        <w:separator/>
      </w:r>
    </w:p>
  </w:footnote>
  <w:footnote w:type="continuationSeparator" w:id="0">
    <w:p w:rsidR="00184434" w:rsidRDefault="00184434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84434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33EED"/>
    <w:rsid w:val="00241D45"/>
    <w:rsid w:val="00247E9F"/>
    <w:rsid w:val="002555BB"/>
    <w:rsid w:val="00255CD5"/>
    <w:rsid w:val="0026044D"/>
    <w:rsid w:val="002607D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0A4"/>
    <w:rsid w:val="00374E2F"/>
    <w:rsid w:val="00381CAF"/>
    <w:rsid w:val="003838A1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241"/>
    <w:rsid w:val="00530616"/>
    <w:rsid w:val="00545B12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D1B66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15710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93FB0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B79E5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0A46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C75D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C0AAF"/>
    <w:rsid w:val="00EC3778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0DE6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0E4DC3-BF79-404D-9D84-97CA42B5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A0A3-D88C-4C5B-92E6-59FAF215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翁素蘭</cp:lastModifiedBy>
  <cp:revision>2</cp:revision>
  <cp:lastPrinted>2016-06-27T00:30:00Z</cp:lastPrinted>
  <dcterms:created xsi:type="dcterms:W3CDTF">2022-02-22T08:36:00Z</dcterms:created>
  <dcterms:modified xsi:type="dcterms:W3CDTF">2022-02-22T08:36:00Z</dcterms:modified>
</cp:coreProperties>
</file>